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75442029" w:rsidR="00790AC7" w:rsidRPr="00790AC7" w:rsidRDefault="00C16E89">
      <w:pPr>
        <w:rPr>
          <w:rFonts w:ascii="Arial" w:hAnsi="Arial" w:cs="Arial"/>
          <w:b/>
          <w:bCs/>
        </w:rPr>
      </w:pPr>
      <w:r w:rsidRPr="00C16E89">
        <w:rPr>
          <w:rFonts w:ascii="Arial" w:hAnsi="Arial" w:cs="Arial"/>
          <w:b/>
          <w:bCs/>
        </w:rPr>
        <w:t>Widmung des Weges 131/1 südlich der Ortslage Willmersdorf</w:t>
      </w:r>
    </w:p>
    <w:p w14:paraId="265A1EE1" w14:textId="086D6B42" w:rsidR="00790AC7" w:rsidRPr="00790AC7" w:rsidRDefault="00790AC7" w:rsidP="00453427">
      <w:pPr>
        <w:rPr>
          <w:rFonts w:ascii="Arial" w:hAnsi="Arial" w:cs="Arial"/>
        </w:rPr>
      </w:pPr>
      <w:r w:rsidRPr="00790AC7">
        <w:rPr>
          <w:rFonts w:ascii="Arial" w:hAnsi="Arial" w:cs="Arial"/>
        </w:rPr>
        <w:t>Die Stadtverordnetenversammlung hat am 12.05.2026 gemäß § 6 des Brandenburgischen Straßengesetzes (BbgStrG)</w:t>
      </w:r>
      <w:r w:rsidR="00453427">
        <w:rPr>
          <w:rFonts w:ascii="Arial" w:hAnsi="Arial" w:cs="Arial"/>
        </w:rPr>
        <w:t xml:space="preserve"> </w:t>
      </w:r>
      <w:r w:rsidR="00453427" w:rsidRPr="00453427">
        <w:rPr>
          <w:rFonts w:ascii="Arial" w:hAnsi="Arial" w:cs="Arial"/>
        </w:rPr>
        <w:t xml:space="preserve">i.d. derzeit gültigen Fassung die Widmung des ländlichen Weges </w:t>
      </w:r>
      <w:r w:rsidR="00C16E89" w:rsidRPr="00C16E89">
        <w:rPr>
          <w:rFonts w:ascii="Arial" w:hAnsi="Arial" w:cs="Arial"/>
        </w:rPr>
        <w:t>Nr. 131/1 südlich der Ortslage Willmersdorf</w:t>
      </w:r>
      <w:r w:rsidR="00C16E89">
        <w:rPr>
          <w:rFonts w:ascii="Arial" w:hAnsi="Arial" w:cs="Arial"/>
        </w:rPr>
        <w:t xml:space="preserve"> </w:t>
      </w:r>
      <w:r w:rsidRPr="00790AC7">
        <w:rPr>
          <w:rFonts w:ascii="Arial" w:hAnsi="Arial" w:cs="Arial"/>
        </w:rPr>
        <w:t>mit folgenden Festsetzungen</w:t>
      </w:r>
      <w:r w:rsidR="00EF5BF6">
        <w:rPr>
          <w:rFonts w:ascii="Arial" w:hAnsi="Arial" w:cs="Arial"/>
        </w:rPr>
        <w:t xml:space="preserve"> </w:t>
      </w:r>
      <w:r w:rsidR="00EF5BF6" w:rsidRPr="00EF5BF6">
        <w:rPr>
          <w:rFonts w:ascii="Arial" w:hAnsi="Arial" w:cs="Arial"/>
        </w:rPr>
        <w:t>beschlossen</w:t>
      </w:r>
      <w:r w:rsidRPr="00790AC7">
        <w:rPr>
          <w:rFonts w:ascii="Arial" w:hAnsi="Arial" w:cs="Arial"/>
        </w:rPr>
        <w:t>:</w:t>
      </w:r>
    </w:p>
    <w:p w14:paraId="748FADE0" w14:textId="565CFB33" w:rsidR="00790AC7" w:rsidRPr="00790AC7" w:rsidRDefault="00790AC7" w:rsidP="009338DA">
      <w:pPr>
        <w:ind w:left="3119" w:hanging="3119"/>
        <w:rPr>
          <w:rFonts w:ascii="Arial" w:hAnsi="Arial" w:cs="Arial"/>
        </w:rPr>
      </w:pPr>
      <w:r w:rsidRPr="00790AC7">
        <w:rPr>
          <w:rFonts w:ascii="Arial" w:hAnsi="Arial" w:cs="Arial"/>
        </w:rPr>
        <w:t xml:space="preserve">1. Lage: </w:t>
      </w:r>
      <w:r>
        <w:rPr>
          <w:rFonts w:ascii="Arial" w:hAnsi="Arial" w:cs="Arial"/>
        </w:rPr>
        <w:tab/>
      </w:r>
      <w:r w:rsidR="00C16E89" w:rsidRPr="00C16E89">
        <w:rPr>
          <w:rFonts w:ascii="Arial" w:hAnsi="Arial" w:cs="Arial"/>
        </w:rPr>
        <w:t>Gemarkung Willmersdorf, Weg Nr. 131/1</w:t>
      </w:r>
      <w:r w:rsidR="00982989">
        <w:rPr>
          <w:rFonts w:ascii="Arial" w:hAnsi="Arial" w:cs="Arial"/>
        </w:rPr>
        <w:t xml:space="preserve"> </w:t>
      </w:r>
      <w:r w:rsidRPr="00790AC7">
        <w:rPr>
          <w:rFonts w:ascii="Arial" w:hAnsi="Arial" w:cs="Arial"/>
        </w:rPr>
        <w:t>entsprechend Wege- und Gewässerplan nach § 41 Flurbereinigungsgesetz entsprechend der Darstellung im Lageplan (keine katasterlichen Bezeichnungen)</w:t>
      </w:r>
    </w:p>
    <w:p w14:paraId="2A858519" w14:textId="57FC8474" w:rsidR="00790AC7" w:rsidRPr="00790AC7" w:rsidRDefault="00790AC7" w:rsidP="009338DA">
      <w:pPr>
        <w:ind w:left="3119" w:hanging="3119"/>
        <w:rPr>
          <w:rFonts w:ascii="Arial" w:hAnsi="Arial" w:cs="Arial"/>
        </w:rPr>
      </w:pPr>
      <w:r w:rsidRPr="00790AC7">
        <w:rPr>
          <w:rFonts w:ascii="Arial" w:hAnsi="Arial" w:cs="Arial"/>
        </w:rPr>
        <w:t xml:space="preserve">2. Straßenname: </w:t>
      </w:r>
      <w:r>
        <w:rPr>
          <w:rFonts w:ascii="Arial" w:hAnsi="Arial" w:cs="Arial"/>
        </w:rPr>
        <w:tab/>
      </w:r>
      <w:r w:rsidRPr="00790AC7">
        <w:rPr>
          <w:rFonts w:ascii="Arial" w:hAnsi="Arial" w:cs="Arial"/>
        </w:rPr>
        <w:t>ohne</w:t>
      </w:r>
    </w:p>
    <w:p w14:paraId="688B77F5" w14:textId="0D724C75" w:rsidR="00790AC7" w:rsidRPr="00790AC7" w:rsidRDefault="00790AC7" w:rsidP="009338DA">
      <w:pPr>
        <w:ind w:left="3119" w:hanging="3119"/>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4EBD0B5" w:rsidR="00790AC7" w:rsidRPr="00790AC7" w:rsidRDefault="00790AC7" w:rsidP="009338DA">
      <w:pPr>
        <w:ind w:left="3119" w:hanging="3119"/>
        <w:rPr>
          <w:rFonts w:ascii="Arial" w:hAnsi="Arial" w:cs="Arial"/>
        </w:rPr>
      </w:pPr>
      <w:r w:rsidRPr="00790AC7">
        <w:rPr>
          <w:rFonts w:ascii="Arial" w:hAnsi="Arial" w:cs="Arial"/>
        </w:rPr>
        <w:t xml:space="preserve">4. Funktion: </w:t>
      </w:r>
      <w:r>
        <w:rPr>
          <w:rFonts w:ascii="Arial" w:hAnsi="Arial" w:cs="Arial"/>
        </w:rPr>
        <w:tab/>
      </w:r>
      <w:r w:rsidRPr="00790AC7">
        <w:rPr>
          <w:rFonts w:ascii="Arial" w:hAnsi="Arial" w:cs="Arial"/>
        </w:rPr>
        <w:t xml:space="preserve">ländlicher Wirtschaftsweg </w:t>
      </w:r>
    </w:p>
    <w:p w14:paraId="28285CE7" w14:textId="15B2B667" w:rsidR="00790AC7" w:rsidRPr="00790AC7" w:rsidRDefault="00790AC7" w:rsidP="009338DA">
      <w:pPr>
        <w:ind w:left="3119" w:hanging="3119"/>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77E867EA" w:rsidR="00790AC7" w:rsidRPr="00790AC7" w:rsidRDefault="00790AC7" w:rsidP="009338DA">
      <w:pPr>
        <w:ind w:left="3119" w:hanging="3119"/>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 xml:space="preserve">Verbot für Kraftfahrzeuge, Nutzung beschränkt auf fußläufigen Verkehr, Fahrradverkehr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1A1DE959" w:rsidR="00790AC7" w:rsidRPr="00790AC7" w:rsidRDefault="00C16E89">
      <w:pPr>
        <w:rPr>
          <w:rFonts w:ascii="Arial" w:hAnsi="Arial" w:cs="Arial"/>
        </w:rPr>
      </w:pPr>
      <w:r w:rsidRPr="00C16E89">
        <w:rPr>
          <w:rFonts w:ascii="Arial" w:hAnsi="Arial" w:cs="Arial"/>
          <w:noProof/>
        </w:rPr>
        <w:lastRenderedPageBreak/>
        <w:drawing>
          <wp:inline distT="0" distB="0" distL="0" distR="0" wp14:anchorId="088DBB8D" wp14:editId="281F11B3">
            <wp:extent cx="5419725" cy="687718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23024" cy="6881374"/>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146537"/>
    <w:rsid w:val="004128F3"/>
    <w:rsid w:val="00453427"/>
    <w:rsid w:val="00790AC7"/>
    <w:rsid w:val="007F393A"/>
    <w:rsid w:val="008105F6"/>
    <w:rsid w:val="009338DA"/>
    <w:rsid w:val="00982989"/>
    <w:rsid w:val="00C16E89"/>
    <w:rsid w:val="00DE5D84"/>
    <w:rsid w:val="00EF5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1380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3</cp:revision>
  <cp:lastPrinted>2026-06-02T15:53:00Z</cp:lastPrinted>
  <dcterms:created xsi:type="dcterms:W3CDTF">2026-06-02T16:25:00Z</dcterms:created>
  <dcterms:modified xsi:type="dcterms:W3CDTF">2026-06-02T16:50:00Z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900ed1b1-f94c-4c91-bc30-dc60c9fc66cc</vt:lpwstr>
  </property>
  <property fmtid="{D5CDD505-2E9C-101B-9397-08002B2CF9AE}" pid="3" name="ReadOnly">
    <vt:lpwstr>False</vt:lpwstr>
  </property>
  <property fmtid="{D5CDD505-2E9C-101B-9397-08002B2CF9AE}" pid="4" name="DocTitle">
    <vt:lpwstr>Aktenplan Werneuchen\Straßen, Wege, Plätze\Straßenrecht\Widmungen\Bodenordnungsverfahren\Widmungsverfügung 127</vt:lpwstr>
  </property>
</Properties>
</file>